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After sonicating the DNA we need to do a quick quality check on a gel.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Making a 1.3% agarose gel: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100 ml 1X TAE in a flask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1.3 g agarose mixed into TAE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ul SybrSafe mixed into Agarose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Pour into mold with 15 well comb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Allow gel to stiffen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Loading the Gel: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 ul O’GeneRuler 100 bp Ladder in First and Last Well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 ul sample mix with 5 ul loading dye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Load 25 ul dye/sample in each well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Running gel: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120 v for 30 mins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Visualize with Dark reader with orange filter.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Image for notebook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Order of gel lanes top to bottom = left to right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Nf05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Nf07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Nf12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Nf15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Hl24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Hl26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Hl28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Hl31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Sn01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Sn04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Sn08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Sn15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